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東西仁連川地区】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東西仁連川地区》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P10</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原風景となる田園景観や、それと一体となった八俣送信所の眺望景観を個性として、新旧が調和する風情ある景観をみんなで守り育み発信する</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P10</w:t>
            </w:r>
            <w:r>
              <w:rPr>
                <w:rFonts w:hint="eastAsia" w:asciiTheme="minorEastAsia" w:hAnsiTheme="minorEastAsia" w:eastAsiaTheme="minorEastAsia"/>
                <w:b w:val="0"/>
                <w:color w:val="auto"/>
                <w:highlight w:val="none"/>
              </w:rPr>
              <w:t>）</w:t>
            </w:r>
          </w:p>
          <w:p>
            <w:pPr>
              <w:pStyle w:val="0"/>
              <w:ind w:left="420" w:leftChars="100" w:hanging="210" w:hanging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・東西仁連川と飯沼川が織りなす田園景観や、それらと一体となった八俣送信所の独特の眺望景観を地区の個性ある景観資源として守り生かす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・貴重な資源として里山の緑を守り育むとともに、地区の資源を大切にする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・農地や樹林地等の自然環境と集落地及び新たに創出される都市景観などが調和する、良好な景観を創る</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P70</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P71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・河川空間と一体となった個性のある眺望景観を大切にする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・地区の貴重な財産として里山を守り生かす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・工業・業務系施設は田園景観や住宅地に対し景観的配慮に努める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河川敷から見える台地端部に建築物等を建築するにあたっては、形態や外壁・屋上広告などの色彩及び高さに配慮している。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工業・業務系施設の建築物の外壁の位置は、隣接する住宅への影響を軽減するため、道路境界線及び隣地境界線から２ｍ以上離して設置している。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工業・業務系施設において、住宅等と隣接する敷地意匠は、緩衝帯ともなる緑を設置し、うるおいのある景観の創出に努めている。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河川周辺については、緑の連続を確保するため、できる限り既存の緑の保全を図るとともに、開発等で滅失する場合は、回復に努めている。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P70</w:t>
            </w:r>
            <w:r>
              <w:rPr>
                <w:rFonts w:hint="eastAsia" w:ascii="ＭＳ 明朝" w:hAnsi="ＭＳ 明朝" w:eastAsia="ＭＳ 明朝"/>
                <w:color w:val="auto"/>
              </w:rPr>
              <w:t>）</w:t>
            </w:r>
          </w:p>
          <w:p>
            <w:pPr>
              <w:pStyle w:val="0"/>
              <w:ind w:left="420" w:leftChars="200" w:firstLine="0" w:firstLineChars="0"/>
              <w:rPr>
                <w:rFonts w:hint="default"/>
              </w:rPr>
            </w:pPr>
            <w:r>
              <w:rPr>
                <w:rFonts w:hint="eastAsia" w:ascii="ＭＳ 明朝" w:hAnsi="ＭＳ 明朝" w:eastAsia="ＭＳ 明朝"/>
                <w:color w:val="auto"/>
              </w:rPr>
              <w:t>平地林や里山の保全整備を行うとともに、地区住民や地元企業等の事業者の方々の協働による保全・活用に努めている。</w:t>
            </w:r>
          </w:p>
          <w:p>
            <w:pPr>
              <w:pStyle w:val="0"/>
              <w:ind w:left="420" w:leftChars="200" w:firstLine="0" w:firstLineChars="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河川敷から見える台地端部に建築物等を建築するにあたっては、形態や外壁・屋上広告などの色彩及び高さに配慮している。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P70</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工業・業務系施設の建築物の外壁の位置は、隣接する住宅への影響を軽減するため、道路境界線及び隣地境界線から２ｍ以上離して設置している。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工業・業務系施設において、住宅等と隣接する敷地意匠は、緩衝帯ともなる緑を設置し、うるおいのある景観の創出に努めている。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p>
          <w:p>
            <w:pPr>
              <w:pStyle w:val="0"/>
              <w:ind w:firstLine="420" w:firstLineChars="200"/>
              <w:rPr>
                <w:rFonts w:hint="default"/>
              </w:rPr>
            </w:pPr>
          </w:p>
          <w:p>
            <w:pPr>
              <w:pStyle w:val="0"/>
              <w:ind w:firstLine="420" w:firstLineChars="20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河川周辺については、緑の連続を確保するため、できる限り既存の緑の保全を図るとともに、開発等で滅失する場合は、回復に努めている。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P70</w:t>
            </w:r>
            <w:r>
              <w:rPr>
                <w:rFonts w:hint="eastAsia" w:ascii="ＭＳ 明朝" w:hAnsi="ＭＳ 明朝" w:eastAsia="ＭＳ 明朝"/>
                <w:color w:val="auto"/>
              </w:rPr>
              <w:t>）</w:t>
            </w:r>
          </w:p>
          <w:p>
            <w:pPr>
              <w:pStyle w:val="0"/>
              <w:ind w:left="420" w:leftChars="200" w:firstLine="0" w:firstLineChars="0"/>
              <w:rPr>
                <w:rFonts w:hint="default"/>
              </w:rPr>
            </w:pPr>
            <w:r>
              <w:rPr>
                <w:rFonts w:hint="eastAsia" w:ascii="ＭＳ 明朝" w:hAnsi="ＭＳ 明朝" w:eastAsia="ＭＳ 明朝"/>
                <w:color w:val="auto"/>
              </w:rPr>
              <w:t>平地林や里山の保全整備を行うとともに、地区住民や地元企業等の事業者の方々の協働による保全・活用に努めている。</w:t>
            </w:r>
          </w:p>
          <w:p>
            <w:pPr>
              <w:pStyle w:val="0"/>
              <w:ind w:left="420" w:leftChars="200" w:firstLine="0" w:firstLineChars="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P71</w:t>
            </w:r>
            <w:r>
              <w:rPr>
                <w:rFonts w:hint="eastAsia" w:ascii="ＭＳ 明朝" w:hAnsi="ＭＳ 明朝" w:eastAsia="ＭＳ 明朝"/>
                <w:color w:val="auto"/>
              </w:rPr>
              <w:t>）</w:t>
            </w:r>
            <w:bookmarkStart w:id="0" w:name="_GoBack"/>
            <w:bookmarkEnd w:id="0"/>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10</Pages>
  <Words>36</Words>
  <Characters>4634</Characters>
  <Application>JUST Note</Application>
  <Lines>2656</Lines>
  <Paragraphs>249</Paragraphs>
  <Company>古河市役所</Company>
  <CharactersWithSpaces>4722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2025-10-06T05:43:36Z</dcterms:modified>
  <cp:revision>50</cp:revision>
</cp:coreProperties>
</file>