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旧大山・釈迦沼地区】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旧大山・釈迦沼地区》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７）</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水と闘い共に生き、つくり上げた豊かな田園景観を将来にわたり守るとともに、旧鎌倉街道筋を大切に地区に根ざした景観を育む</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７）</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・旧鎌倉街道筋の趣のある景観を守り創る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・沼地跡に広がる農環境・田園景観を守る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・遺跡など古来の生活の面影を残す</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P41</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P42</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・旧鎌倉街道の趣を大切にした景観づくりに配慮する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・旧沼地跡に広がる農環境・田園景観との調和に配慮する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・大橋遺跡、香取東遺跡など遺跡及びそれと一体となった緑を大切にする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widowControl w:val="1"/>
        <w:jc w:val="left"/>
        <w:rPr>
          <w:rFonts w:hint="default"/>
        </w:rPr>
      </w:pPr>
    </w:p>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田園に面する建築物等については、できる限り建物を離して配置し田園側から直接建物が見えないよう緑化等を施すとともに、できる限り建物の高さを抑えるなど田園景観との調和に配慮している。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P42</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神社仏閣等の歴史資源周辺においては、建築物や屋外広告物等の形態や色彩について、周囲の景観に馴染む高さや形態、落ち着いた色調を用いるなど趣のある景観が連続するよう努めている。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P41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bookmarkStart w:id="0" w:name="_GoBack"/>
            <w:bookmarkEnd w:id="0"/>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田園に面する建築物等については、できる限り建物を離して配置し田園側から直接建物が見えないよう緑化等を施すとともに、できる限り建物の高さを抑えるなど田園景観との調和に配慮している。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P42</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神社仏閣等の歴史資源周辺においては、建築物や屋外広告物等の形態や色彩について、周囲の景観に馴染む高さや形態、落ち着いた色調を用いるなど趣のある景観が連続するよう努めている。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P41</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eastAsia" w:ascii="ＭＳ 明朝" w:hAnsi="ＭＳ 明朝" w:eastAsia="ＭＳ 明朝"/>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10</Pages>
  <Words>31</Words>
  <Characters>4165</Characters>
  <Application>JUST Note</Application>
  <Lines>2593</Lines>
  <Paragraphs>232</Paragraphs>
  <Company>古河市役所</Company>
  <CharactersWithSpaces>4258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2025-10-06T04:56:58Z</dcterms:modified>
  <cp:revision>46</cp:revision>
</cp:coreProperties>
</file>